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6106E" w14:textId="29AFDCE3" w:rsidR="00D746BD" w:rsidRPr="0035034A" w:rsidRDefault="00D746BD" w:rsidP="00D746BD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AEB388" wp14:editId="372A3B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C4554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21</w:t>
      </w:r>
      <w:r w:rsidR="00CC5A61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E6285A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5245</w:t>
      </w:r>
    </w:p>
    <w:p w14:paraId="4BF14776" w14:textId="2215012F" w:rsidR="00AA3FAE" w:rsidRPr="00AA3FAE" w:rsidRDefault="00CC5A61" w:rsidP="00D746BD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Xiamen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China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9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13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October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120AD98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Mobility enhancements for mobile IAB-node and its served UE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229606AE" w14:textId="77777777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1F28782" w14:textId="77777777" w:rsidR="00236927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04578F2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43D92FE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93CBACB" w14:textId="77777777" w:rsidR="00236927" w:rsidRPr="00314064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Enhancements for mobility of an IAB-node together with its served UEs, including aspects related to group mobility. No optimizations for the targeting of surrounding UEs. [RAN3, RAN2]</w:t>
            </w:r>
          </w:p>
          <w:p w14:paraId="39D6DF84" w14:textId="77777777" w:rsidR="00236927" w:rsidRPr="00314064" w:rsidRDefault="00236927" w:rsidP="00236927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058673" w14:textId="03498F84" w:rsidR="002F0CB9" w:rsidRPr="001139CF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ascii="Calibri" w:eastAsia="Times New Roman" w:hAnsi="Calibri" w:cs="Times New Roman"/>
                <w:sz w:val="22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6D4B8E3A" w14:textId="0D300EAD" w:rsidR="006E5566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enhancement for mobile IAB-node mobility is discussed, including </w:t>
      </w:r>
      <w:r w:rsidR="006E5566" w:rsidRPr="006E5566">
        <w:rPr>
          <w:rFonts w:ascii="Times New Roman" w:eastAsia="宋体" w:hAnsi="Times New Roman" w:cs="Times New Roman"/>
          <w:kern w:val="0"/>
          <w:sz w:val="20"/>
          <w:szCs w:val="20"/>
        </w:rPr>
        <w:t>aspects related to</w:t>
      </w:r>
      <w:r w:rsidR="000637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 indication</w:t>
      </w:r>
      <w:r w:rsidR="002402B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>configuration for IAB-D</w:t>
      </w:r>
      <w:r w:rsidR="001D279D">
        <w:rPr>
          <w:rFonts w:ascii="Times New Roman" w:eastAsia="宋体" w:hAnsi="Times New Roman" w:cs="Times New Roman"/>
          <w:kern w:val="0"/>
          <w:sz w:val="20"/>
          <w:szCs w:val="20"/>
        </w:rPr>
        <w:t>U’s parameters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6407303D" w14:textId="56EB8841" w:rsidR="0036486D" w:rsidRPr="0036486D" w:rsidRDefault="0036486D" w:rsidP="0036486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3" w:name="OLE_LINK8"/>
      <w:proofErr w:type="spellStart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</w:t>
      </w:r>
      <w:proofErr w:type="spellEnd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-node indication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/</w:t>
      </w:r>
      <w:proofErr w:type="spellStart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</w:t>
      </w:r>
      <w:proofErr w:type="spellEnd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-node</w:t>
      </w:r>
      <w:r w:rsidR="000E079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authorized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in HO </w:t>
      </w:r>
      <w:r w:rsidR="0040120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request</w:t>
      </w:r>
    </w:p>
    <w:tbl>
      <w:tblPr>
        <w:tblW w:w="9697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7"/>
      </w:tblGrid>
      <w:tr w:rsidR="0036486D" w14:paraId="6139C07C" w14:textId="77777777" w:rsidTr="003C5E04">
        <w:trPr>
          <w:trHeight w:val="1760"/>
        </w:trPr>
        <w:tc>
          <w:tcPr>
            <w:tcW w:w="9697" w:type="dxa"/>
          </w:tcPr>
          <w:p w14:paraId="2A06D2B0" w14:textId="77777777" w:rsidR="00A34A2D" w:rsidRPr="00A34A2D" w:rsidRDefault="00A34A2D" w:rsidP="00A34A2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9bis-e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9394045" w14:textId="77777777" w:rsidR="0036486D" w:rsidRDefault="0036486D" w:rsidP="00A34A2D">
            <w:pPr>
              <w:widowControl/>
              <w:spacing w:after="120"/>
              <w:jc w:val="left"/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</w:pPr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To be continued: Whether explicit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-node indication and/or explicit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-node-authorized indication needs to be included in the HO request for the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-MT, e.g., so that the target CU can perform admission control.</w:t>
            </w:r>
          </w:p>
          <w:p w14:paraId="757F2AFE" w14:textId="653D7706" w:rsidR="008B0A50" w:rsidRPr="008B0A50" w:rsidRDefault="008B0A50" w:rsidP="008B0A50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 xml:space="preserve">AN3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AA1594C" w14:textId="77777777" w:rsidR="008B0A50" w:rsidRPr="00593445" w:rsidRDefault="008B0A50" w:rsidP="008B0A5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It is agreed that a Mobile-IAB indication is included in the NGAP Initial UE message.</w:t>
            </w:r>
          </w:p>
          <w:p w14:paraId="0AEB7860" w14:textId="77777777" w:rsidR="008B0A50" w:rsidRPr="00593445" w:rsidRDefault="008B0A50" w:rsidP="008B0A50">
            <w:pPr>
              <w:rPr>
                <w:rFonts w:ascii="Calibri" w:hAnsi="Calibri" w:cs="Calibri"/>
                <w:b/>
                <w:color w:val="0000FF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 xml:space="preserve">RAN3 to discuss if mobile-IAB-authorized indication to be included in the HO Request message for the </w:t>
            </w:r>
            <w:proofErr w:type="spellStart"/>
            <w:r w:rsidRPr="00593445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-MT.</w:t>
            </w:r>
          </w:p>
          <w:p w14:paraId="02D284B5" w14:textId="0E4A7F05" w:rsidR="008B0A50" w:rsidRPr="008B0A50" w:rsidRDefault="008B0A50" w:rsidP="008B0A5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Agree to introduce a Mobile-IAB-authorization status indication in the Path Switch Request Ack for the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-MT.</w:t>
            </w:r>
          </w:p>
        </w:tc>
      </w:tr>
    </w:tbl>
    <w:p w14:paraId="4A0B1289" w14:textId="0A0A620A" w:rsidR="00202146" w:rsidRDefault="003A2EE2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</w:t>
      </w:r>
      <w:r w:rsidR="00145DD8">
        <w:rPr>
          <w:rFonts w:ascii="Times New Roman" w:eastAsia="宋体" w:hAnsi="Times New Roman" w:cs="Times New Roman"/>
          <w:kern w:val="0"/>
          <w:sz w:val="20"/>
          <w:szCs w:val="20"/>
        </w:rPr>
        <w:t>current specification for R16 IAB-node as follow, explicit IAB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 and IAB Authorized IE are included in the H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ANDOVER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REQUEST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</w:t>
      </w:r>
      <w:proofErr w:type="spellStart"/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NGAP separately.</w:t>
      </w:r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1"/>
      </w:tblGrid>
      <w:tr w:rsidR="00152CA4" w14:paraId="60E21FB5" w14:textId="77777777" w:rsidTr="004851ED">
        <w:trPr>
          <w:trHeight w:val="1980"/>
        </w:trPr>
        <w:tc>
          <w:tcPr>
            <w:tcW w:w="9661" w:type="dxa"/>
          </w:tcPr>
          <w:p w14:paraId="324A9BE4" w14:textId="785FEBF6" w:rsidR="00152CA4" w:rsidRDefault="00152CA4" w:rsidP="00152CA4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ind w:left="-5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 38.423:</w:t>
            </w:r>
          </w:p>
          <w:p w14:paraId="6754679E" w14:textId="77777777" w:rsidR="00152CA4" w:rsidRPr="00152CA4" w:rsidRDefault="00152CA4" w:rsidP="00152CA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</w:pP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>If the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IAB </w:t>
            </w:r>
            <w:r w:rsidRPr="00152CA4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N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ode </w:t>
            </w:r>
            <w:r w:rsidRPr="00152CA4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I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ndication 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highlight w:val="yellow"/>
                <w:lang w:val="en-GB"/>
              </w:rPr>
              <w:t>IE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 xml:space="preserve"> is contained in the HANDOVER REQUEST message, the target NG-RAN node shall, if supported, consider that the handover is for an IAB node.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 w:eastAsia="ko-KR"/>
              </w:rPr>
              <w:t xml:space="preserve"> In addition:</w:t>
            </w:r>
          </w:p>
          <w:p w14:paraId="3911BBD7" w14:textId="77777777" w:rsidR="00152CA4" w:rsidRDefault="00152CA4" w:rsidP="00152CA4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ind w:left="-5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 38.413:</w:t>
            </w:r>
          </w:p>
          <w:p w14:paraId="271161D0" w14:textId="6AD0B5CC" w:rsidR="00152CA4" w:rsidRPr="00443675" w:rsidRDefault="00443675" w:rsidP="0044367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>If the</w:t>
            </w:r>
            <w:r w:rsidRPr="00443675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443675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IAB Authorized </w:t>
            </w: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highlight w:val="yellow"/>
                <w:lang w:val="en-GB"/>
              </w:rPr>
              <w:t>IE</w:t>
            </w: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 xml:space="preserve"> is contained in the HANDOVER REQUEST message, the NG-RAN node shall, if supported, consider that the handover is for an IAB node.</w:t>
            </w:r>
          </w:p>
        </w:tc>
      </w:tr>
    </w:tbl>
    <w:p w14:paraId="5B8C660A" w14:textId="0B14545E" w:rsidR="0036486D" w:rsidRDefault="00202146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imilar to design of R16, for mobile IAB, 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an explicit </w:t>
      </w:r>
      <w:proofErr w:type="spellStart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 is contained in the </w:t>
      </w:r>
      <w:proofErr w:type="spellStart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A6844" w:rsidRPr="00152CA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>HANDOVER REQUEST message</w:t>
      </w:r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 xml:space="preserve"> from source IAB-donor to target IAB-donor, and an explicit </w:t>
      </w:r>
      <w:proofErr w:type="spellStart"/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>mIAB</w:t>
      </w:r>
      <w:proofErr w:type="spellEnd"/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="005A6844" w:rsidRPr="00443675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>HANDOVER REQUEST message</w:t>
      </w:r>
      <w:r w:rsidR="005A6844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 xml:space="preserve"> from AMF to target IAB-donor.</w:t>
      </w:r>
      <w:r w:rsidR="00BD2BF0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 xml:space="preserve"> In addition, the </w:t>
      </w:r>
      <w:proofErr w:type="spellStart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 </w:t>
      </w:r>
      <w:r w:rsidR="00B673C0"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used to indicate the </w:t>
      </w:r>
      <w:proofErr w:type="spellStart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BD2BF0">
        <w:rPr>
          <w:rFonts w:ascii="Times New Roman" w:eastAsia="宋体" w:hAnsi="Times New Roman" w:cs="Times New Roman"/>
          <w:kern w:val="0"/>
          <w:sz w:val="20"/>
          <w:szCs w:val="20"/>
        </w:rPr>
        <w:t>-node is authorized.</w:t>
      </w:r>
    </w:p>
    <w:p w14:paraId="4A06005F" w14:textId="63F0D5A0" w:rsidR="005A6844" w:rsidRPr="005A6844" w:rsidRDefault="005A6844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An explicit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Node Indication is contained in the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52CA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source IAB-donor to target IAB-donor</w:t>
      </w:r>
      <w:r w:rsid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, and </w:t>
      </w:r>
      <w:r w:rsidR="00B673C0"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the </w:t>
      </w:r>
      <w:proofErr w:type="spellStart"/>
      <w:r w:rsidR="00B673C0"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="00B673C0"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Node Indication can be used to indicate the </w:t>
      </w:r>
      <w:proofErr w:type="spellStart"/>
      <w:r w:rsidR="00B673C0"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="00B673C0"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-node is authorized.</w:t>
      </w:r>
    </w:p>
    <w:p w14:paraId="5157DEB5" w14:textId="2D3D8127" w:rsidR="00F26293" w:rsidRDefault="005A6844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等线" w:hAnsi="Times New Roman" w:cs="Times New Roman" w:hint="eastAsia"/>
          <w:b/>
          <w:bCs/>
          <w:snapToGrid w:val="0"/>
          <w:kern w:val="0"/>
          <w:sz w:val="20"/>
          <w:szCs w:val="20"/>
          <w:lang w:val="en-GB"/>
        </w:rPr>
        <w:t>P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roposal 2: An explicit </w:t>
      </w:r>
      <w:proofErr w:type="spellStart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Pr="00443675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AMF to target IAB-donor.</w:t>
      </w:r>
      <w:r w:rsidR="004D7E11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</w:t>
      </w:r>
    </w:p>
    <w:p w14:paraId="12F1D78E" w14:textId="54CA4010" w:rsidR="002C30B4" w:rsidRPr="0079429A" w:rsidRDefault="00F21E9F" w:rsidP="002C30B4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Authorization state change</w:t>
      </w:r>
    </w:p>
    <w:tbl>
      <w:tblPr>
        <w:tblW w:w="970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0"/>
      </w:tblGrid>
      <w:tr w:rsidR="00EA55A0" w14:paraId="6991CF3A" w14:textId="77777777" w:rsidTr="004851ED">
        <w:trPr>
          <w:trHeight w:val="1042"/>
        </w:trPr>
        <w:tc>
          <w:tcPr>
            <w:tcW w:w="9700" w:type="dxa"/>
          </w:tcPr>
          <w:p w14:paraId="4486627C" w14:textId="546CF5F9" w:rsidR="00EA55A0" w:rsidRDefault="00EA55A0" w:rsidP="00EA55A0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 xml:space="preserve">AN3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27D182B" w14:textId="77777777" w:rsidR="00EA55A0" w:rsidRPr="00593445" w:rsidRDefault="00EA55A0" w:rsidP="00EA55A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Agree that the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-DU’s CU to be informed about the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-authorized status by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-MT´s CU when IAB MT and IAB DU connect to different IAB donor CUs.</w:t>
            </w:r>
          </w:p>
          <w:p w14:paraId="5A50D1E9" w14:textId="644AFDC1" w:rsidR="00EA55A0" w:rsidRPr="00EA55A0" w:rsidRDefault="00EA55A0" w:rsidP="00EA55A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In case the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-DU’s CU obtains “non-authorized” indication for the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-node, it performs an orderly F1 release. </w:t>
            </w:r>
          </w:p>
        </w:tc>
      </w:tr>
    </w:tbl>
    <w:p w14:paraId="12B21686" w14:textId="05FFA1EC" w:rsidR="002C30B4" w:rsidRPr="00F21E9F" w:rsidRDefault="00F21E9F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agreed in RAN side, IAB-MT and IAB-DU can connect to different IAB-donor-CUs both for IAB-node and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-node. In addition, the </w:t>
      </w:r>
      <w:r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informed from the AMF to IAB-donor-CU and the IAB-donor-CU stores it in the UE context, which means current only RRC-terminating IAB-donor-CU is aware of the </w:t>
      </w:r>
      <w:r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IAB-node. However, once the </w:t>
      </w:r>
      <w:r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a</w:t>
      </w:r>
      <w:r w:rsidRPr="00911B47">
        <w:rPr>
          <w:rFonts w:ascii="Times New Roman" w:eastAsia="宋体" w:hAnsi="Times New Roman" w:cs="Times New Roman"/>
          <w:kern w:val="0"/>
          <w:sz w:val="20"/>
          <w:szCs w:val="20"/>
        </w:rPr>
        <w:t>uthorized to not authorized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it’s the F1-terminating IAB-donor-CU to </w:t>
      </w:r>
      <w:r w:rsidRPr="004A361E">
        <w:rPr>
          <w:rFonts w:ascii="Times New Roman" w:eastAsia="宋体" w:hAnsi="Times New Roman" w:cs="Times New Roman"/>
          <w:kern w:val="0"/>
          <w:sz w:val="20"/>
          <w:szCs w:val="20"/>
        </w:rPr>
        <w:t>initiate actions to ensure that the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Pr="004A361E">
        <w:rPr>
          <w:rFonts w:ascii="Times New Roman" w:eastAsia="宋体" w:hAnsi="Times New Roman" w:cs="Times New Roman"/>
          <w:kern w:val="0"/>
          <w:sz w:val="20"/>
          <w:szCs w:val="20"/>
        </w:rPr>
        <w:t>node will not serve the UE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Therefore, if the IAB-MT and IAB-DU connect to different IAB-donor-CUs, the F1-terminating IAB-donor-CU needs to be informed </w:t>
      </w:r>
      <w:bookmarkStart w:id="4" w:name="_Hlk142406791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about </w:t>
      </w:r>
      <w:r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change of IAB-node </w:t>
      </w:r>
      <w:r w:rsidRPr="00F21E9F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the RRC-terminating IAB-donor-CU via </w:t>
      </w:r>
      <w:proofErr w:type="spellStart"/>
      <w:r w:rsidRPr="00F21E9F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F21E9F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bookmarkEnd w:id="4"/>
      <w:r w:rsidR="00FB20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10E566A" w14:textId="10CCFE11" w:rsidR="002C30B4" w:rsidRDefault="002C30B4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If IAB-MT and IAB-DU connect to different IAB-donor-CUs, the F1-terminating IAB-donor-CU needs to be informed about authorization state change of IAB-node </w:t>
      </w:r>
      <w:r w:rsidR="00F21E9F">
        <w:rPr>
          <w:rFonts w:ascii="Times New Roman" w:hAnsi="Times New Roman" w:cs="Times New Roman"/>
          <w:b/>
          <w:bCs/>
          <w:sz w:val="20"/>
          <w:szCs w:val="20"/>
        </w:rPr>
        <w:t xml:space="preserve">from the </w:t>
      </w:r>
      <w:r w:rsidR="00F21E9F" w:rsidRPr="00F21E9F">
        <w:rPr>
          <w:rFonts w:ascii="Times New Roman" w:hAnsi="Times New Roman" w:cs="Times New Roman"/>
          <w:b/>
          <w:bCs/>
          <w:sz w:val="20"/>
          <w:szCs w:val="20"/>
        </w:rPr>
        <w:t xml:space="preserve">RRC-terminating IAB-donor-CU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via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XnAP</w:t>
      </w:r>
      <w:proofErr w:type="spellEnd"/>
      <w:r w:rsidR="00F21E9F"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94705D8" w14:textId="47E90122" w:rsidR="00840375" w:rsidRPr="0079429A" w:rsidRDefault="000317DE" w:rsidP="00840375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CU-based </w:t>
      </w:r>
      <w:r w:rsidR="0084037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NCGI reconfiguration</w:t>
      </w:r>
    </w:p>
    <w:tbl>
      <w:tblPr>
        <w:tblW w:w="0" w:type="auto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A964D1" w14:paraId="73C1A72D" w14:textId="77777777" w:rsidTr="004851ED">
        <w:trPr>
          <w:trHeight w:val="4969"/>
        </w:trPr>
        <w:tc>
          <w:tcPr>
            <w:tcW w:w="9570" w:type="dxa"/>
          </w:tcPr>
          <w:p w14:paraId="005D7A86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color w:val="0D0D0D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color w:val="0D0D0D"/>
                <w:kern w:val="0"/>
                <w:sz w:val="20"/>
                <w:szCs w:val="20"/>
              </w:rPr>
              <w:t>SA5 would like to provide feedback to the following questions asked in the LS from RAN3:</w:t>
            </w:r>
          </w:p>
          <w:p w14:paraId="1D3222B3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- Q1: In case the </w:t>
            </w:r>
            <w:proofErr w:type="spellStart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cellLocalId</w:t>
            </w:r>
            <w:proofErr w:type="spellEnd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part of the NCI of a mobile IAB-DU’s cell is reconfigured by its donor CU, whether and how can the OAM be aware of the cell’s new </w:t>
            </w:r>
            <w:proofErr w:type="spellStart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cellLocalId</w:t>
            </w:r>
            <w:proofErr w:type="spellEnd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part?</w:t>
            </w:r>
          </w:p>
          <w:p w14:paraId="2769F377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A96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The </w:t>
            </w:r>
            <w:proofErr w:type="spellStart"/>
            <w:r w:rsidRPr="00A96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 w:eastAsia="en-GB"/>
              </w:rPr>
              <w:t>CellLocalId</w:t>
            </w:r>
            <w:proofErr w:type="spellEnd"/>
            <w:r w:rsidRPr="00A96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is the attribute of </w:t>
            </w:r>
            <w:proofErr w:type="spellStart"/>
            <w:r w:rsidRPr="00A96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 w:eastAsia="en-GB"/>
              </w:rPr>
              <w:t>NRCellDU</w:t>
            </w:r>
            <w:proofErr w:type="spellEnd"/>
            <w:r w:rsidRPr="00A96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IOC as specified in TS 28.541 [2]. </w:t>
            </w:r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In the case when NCI is reconfigured by its donor CU, the IAB-DU shall notify the OAM system the new </w:t>
            </w:r>
            <w:proofErr w:type="spellStart"/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>cellLocalId</w:t>
            </w:r>
            <w:proofErr w:type="spellEnd"/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 via "</w:t>
            </w:r>
            <w:proofErr w:type="spellStart"/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>notifyMOIAttributeValueChanges</w:t>
            </w:r>
            <w:proofErr w:type="spellEnd"/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>" or "</w:t>
            </w:r>
            <w:proofErr w:type="spellStart"/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>notifyMOIChanges</w:t>
            </w:r>
            <w:proofErr w:type="spellEnd"/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>" notification as specified in TS 28.532 [1]</w:t>
            </w:r>
            <w:r w:rsidRPr="00A964D1"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.</w:t>
            </w:r>
            <w:r w:rsidRPr="00A96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</w:t>
            </w:r>
          </w:p>
          <w:p w14:paraId="26ADD434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 Q2: Is there any issue for the donor CU-based NCI reconfiguration via F1AP?</w:t>
            </w:r>
          </w:p>
          <w:p w14:paraId="75B29CAA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</w:rPr>
              <w:t xml:space="preserve">SA5 doesn’t see any issue about CU-based NCI reconfiguration via F1AP, provided that the OAM is notified that the change of </w:t>
            </w:r>
            <w:proofErr w:type="spellStart"/>
            <w:r w:rsidRPr="00A964D1">
              <w:rPr>
                <w:rFonts w:ascii="Times New Roman" w:eastAsia="Segoe UI" w:hAnsi="Times New Roman" w:cs="Times New Roman"/>
                <w:color w:val="333333"/>
                <w:kern w:val="0"/>
                <w:sz w:val="20"/>
                <w:szCs w:val="20"/>
                <w:highlight w:val="yellow"/>
                <w:lang w:val="en-GB" w:eastAsia="en-GB"/>
              </w:rPr>
              <w:t>cellLocalId</w:t>
            </w:r>
            <w:proofErr w:type="spellEnd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</w:rPr>
              <w:t xml:space="preserve"> has taken place</w:t>
            </w: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SA5 will add clarification in TS 28.541[2] to specify that the change of </w:t>
            </w:r>
            <w:proofErr w:type="spellStart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cellLocalId</w:t>
            </w:r>
            <w:proofErr w:type="spellEnd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is notified to OAM system in case of CU-based NCI reconfiguration. </w:t>
            </w:r>
          </w:p>
          <w:p w14:paraId="6031146D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SA5 would like RAN3 to also add the following statements in the RAN3 relevant specification:</w:t>
            </w:r>
          </w:p>
          <w:p w14:paraId="55E97E60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1) In order to be able to perform CU-based NCI reconfiguration, the donor CU obtains a list of NCI from its OAM in advance.</w:t>
            </w:r>
          </w:p>
          <w:p w14:paraId="79A20E79" w14:textId="77777777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2) The value change of </w:t>
            </w:r>
            <w:proofErr w:type="spellStart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cellLocalId</w:t>
            </w:r>
            <w:proofErr w:type="spellEnd"/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shall be notified to the OAM system following the NCI reconfiguration. </w:t>
            </w:r>
          </w:p>
          <w:p w14:paraId="749ADA9D" w14:textId="4E56A951" w:rsidR="00A964D1" w:rsidRPr="00A964D1" w:rsidRDefault="00A964D1" w:rsidP="00A964D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64D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SA5 would like RAN3 to inform SA5 when CU-based NCI reconfiguration is added to the RAN3 specification for SA5 to plan the work.</w:t>
            </w:r>
          </w:p>
        </w:tc>
      </w:tr>
    </w:tbl>
    <w:p w14:paraId="233B8BDF" w14:textId="3E490833" w:rsidR="00840375" w:rsidRDefault="000317DE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recommended by SA5, RAN3 can agree the following</w:t>
      </w:r>
      <w:r w:rsidR="005B1AAC">
        <w:rPr>
          <w:rFonts w:ascii="Times New Roman" w:hAnsi="Times New Roman" w:cs="Times New Roman"/>
          <w:sz w:val="20"/>
          <w:szCs w:val="20"/>
        </w:rPr>
        <w:t xml:space="preserve"> proposals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5116D978" w14:textId="3CCF7B4B" w:rsidR="000317DE" w:rsidRPr="000317DE" w:rsidRDefault="000317DE" w:rsidP="000317D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0317DE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roposal 4: In order to perform CU-based NC</w:t>
      </w:r>
      <w:r w:rsidR="00A964D1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I reconfiguration</w:t>
      </w:r>
      <w:r w:rsidR="009E7C4C"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proofErr w:type="spellStart"/>
      <w:r w:rsidR="009E7C4C">
        <w:rPr>
          <w:rFonts w:ascii="Times New Roman" w:hAnsi="Times New Roman" w:cs="Times New Roman"/>
          <w:b/>
          <w:bCs/>
          <w:sz w:val="20"/>
          <w:szCs w:val="20"/>
        </w:rPr>
        <w:t>mIAB</w:t>
      </w:r>
      <w:proofErr w:type="spellEnd"/>
      <w:r w:rsidR="009E7C4C">
        <w:rPr>
          <w:rFonts w:ascii="Times New Roman" w:hAnsi="Times New Roman" w:cs="Times New Roman"/>
          <w:b/>
          <w:bCs/>
          <w:sz w:val="20"/>
          <w:szCs w:val="20"/>
        </w:rPr>
        <w:t>-node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, the</w:t>
      </w:r>
      <w:r w:rsidR="00682D3F">
        <w:rPr>
          <w:rFonts w:ascii="Times New Roman" w:hAnsi="Times New Roman" w:cs="Times New Roman"/>
          <w:b/>
          <w:bCs/>
          <w:sz w:val="20"/>
          <w:szCs w:val="20"/>
        </w:rPr>
        <w:t xml:space="preserve"> F1-terminating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IAB-donor-CU</w:t>
      </w:r>
      <w:r w:rsidR="00682D3F">
        <w:rPr>
          <w:rFonts w:ascii="Times New Roman" w:hAnsi="Times New Roman" w:cs="Times New Roman"/>
          <w:b/>
          <w:bCs/>
          <w:sz w:val="20"/>
          <w:szCs w:val="20"/>
        </w:rPr>
        <w:t xml:space="preserve"> of the </w:t>
      </w:r>
      <w:proofErr w:type="spellStart"/>
      <w:r w:rsidR="00682D3F">
        <w:rPr>
          <w:rFonts w:ascii="Times New Roman" w:hAnsi="Times New Roman" w:cs="Times New Roman"/>
          <w:b/>
          <w:bCs/>
          <w:sz w:val="20"/>
          <w:szCs w:val="20"/>
        </w:rPr>
        <w:t>mIAB</w:t>
      </w:r>
      <w:proofErr w:type="spellEnd"/>
      <w:r w:rsidR="00682D3F">
        <w:rPr>
          <w:rFonts w:ascii="Times New Roman" w:hAnsi="Times New Roman" w:cs="Times New Roman"/>
          <w:b/>
          <w:bCs/>
          <w:sz w:val="20"/>
          <w:szCs w:val="20"/>
        </w:rPr>
        <w:t>-node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obtains a list of NC</w:t>
      </w:r>
      <w:r w:rsidR="00682D3F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="001148E6">
        <w:rPr>
          <w:rFonts w:ascii="Times New Roman" w:hAnsi="Times New Roman" w:cs="Times New Roman"/>
          <w:b/>
          <w:bCs/>
          <w:sz w:val="20"/>
          <w:szCs w:val="20"/>
        </w:rPr>
        <w:t>/NCI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from its OAM in advance.</w:t>
      </w:r>
    </w:p>
    <w:p w14:paraId="3B3EA14E" w14:textId="47B8225D" w:rsidR="004851ED" w:rsidRDefault="000317DE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Proposal 5: </w:t>
      </w:r>
      <w:r w:rsidR="005B1AAC">
        <w:rPr>
          <w:rFonts w:ascii="Times New Roman" w:hAnsi="Times New Roman" w:cs="Times New Roman"/>
          <w:b/>
          <w:bCs/>
          <w:sz w:val="20"/>
          <w:szCs w:val="20"/>
        </w:rPr>
        <w:t>In case of CU-based NC</w:t>
      </w:r>
      <w:r w:rsidR="00A964D1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="005B1AAC">
        <w:rPr>
          <w:rFonts w:ascii="Times New Roman" w:hAnsi="Times New Roman" w:cs="Times New Roman"/>
          <w:b/>
          <w:bCs/>
          <w:sz w:val="20"/>
          <w:szCs w:val="20"/>
        </w:rPr>
        <w:t xml:space="preserve">I reconfiguration, </w:t>
      </w:r>
      <w:r w:rsidR="00A964D1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he value change of </w:t>
      </w:r>
      <w:proofErr w:type="spellStart"/>
      <w:r w:rsidRPr="000317DE">
        <w:rPr>
          <w:rFonts w:ascii="Times New Roman" w:hAnsi="Times New Roman" w:cs="Times New Roman"/>
          <w:b/>
          <w:bCs/>
          <w:sz w:val="20"/>
          <w:szCs w:val="20"/>
        </w:rPr>
        <w:t>cellLocalId</w:t>
      </w:r>
      <w:proofErr w:type="spellEnd"/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shall be notified to the OAM system following the NC</w:t>
      </w:r>
      <w:r w:rsidR="00A964D1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I reconfiguration.</w:t>
      </w:r>
    </w:p>
    <w:p w14:paraId="7E0B2A97" w14:textId="0D6DD6C6" w:rsidR="004851ED" w:rsidRDefault="004851ED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</w:p>
    <w:p w14:paraId="1D766B88" w14:textId="77777777" w:rsidR="004851ED" w:rsidRPr="000317DE" w:rsidRDefault="004851ED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</w:p>
    <w:p w14:paraId="1FC52BFA" w14:textId="3F8E7D40" w:rsidR="00A34A2D" w:rsidRPr="0079429A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lastRenderedPageBreak/>
        <w:t>C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onfiguration for IAB-DU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’s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parameters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A34A2D" w14:paraId="224FC449" w14:textId="77777777" w:rsidTr="000317DE">
        <w:trPr>
          <w:trHeight w:val="1477"/>
        </w:trPr>
        <w:tc>
          <w:tcPr>
            <w:tcW w:w="9663" w:type="dxa"/>
          </w:tcPr>
          <w:p w14:paraId="6A34D2CF" w14:textId="77777777" w:rsidR="00A34A2D" w:rsidRDefault="00A34A2D" w:rsidP="00830B7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AN3 117-e:</w:t>
            </w:r>
          </w:p>
          <w:p w14:paraId="078849DC" w14:textId="77777777" w:rsidR="00A34A2D" w:rsidRPr="0001682C" w:rsidRDefault="00A34A2D" w:rsidP="00830B7D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1682C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</w:r>
          </w:p>
          <w:p w14:paraId="12863DAA" w14:textId="77777777" w:rsidR="00A34A2D" w:rsidRPr="004877E1" w:rsidRDefault="00A34A2D" w:rsidP="00830B7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AN3 117bis-e:</w:t>
            </w:r>
          </w:p>
          <w:p w14:paraId="7C71517B" w14:textId="75CD7537" w:rsidR="00A34A2D" w:rsidRPr="00A34A2D" w:rsidRDefault="00A34A2D" w:rsidP="00830B7D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</w:tc>
      </w:tr>
    </w:tbl>
    <w:p w14:paraId="6929EDDF" w14:textId="77777777" w:rsidR="00A34A2D" w:rsidRPr="00197613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re-configuration at the mobile IAB-node may have some advantages to reduce the latency during IAB-DU migration or full migration, especially for the case of regular trajectory or predicable trajectory of mobile IAB-node. In addition, only some relative-static paraments could be considered to be pre-configured at the mobile IAB-node, otherwise, it’s meaningless and the pre-configured parameters may be already outdated by the time they are used which led to extra overhead. As an example, at least the TNL address(es) of IAB-DU and target IAB-donor-CU, and NCGI of IAB-DU can be pre-stored at the mobile IAB-node to accelerate the F1 setup between second logical IAB-DU and target IAB-donor-CU. </w:t>
      </w:r>
    </w:p>
    <w:p w14:paraId="50B6AD93" w14:textId="2CD5B8F7" w:rsidR="000317DE" w:rsidRPr="00A34A2D" w:rsidRDefault="00A34A2D" w:rsidP="00A34A2D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084B41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IAB-DU and target IAB-donor-CU, and NCGI of IAB-DU can be pre-configured at the mobile IAB-node in case of determined trajectory. </w:t>
      </w:r>
    </w:p>
    <w:p w14:paraId="156F78F0" w14:textId="5C373786" w:rsidR="0068320E" w:rsidRPr="0068320E" w:rsidRDefault="00F26EF7" w:rsidP="0068320E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19761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Fixed IAB-node handover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11"/>
      </w:tblGrid>
      <w:tr w:rsidR="0068320E" w14:paraId="77630A0F" w14:textId="77777777" w:rsidTr="00FD2BD9">
        <w:trPr>
          <w:trHeight w:val="2204"/>
        </w:trPr>
        <w:tc>
          <w:tcPr>
            <w:tcW w:w="9611" w:type="dxa"/>
          </w:tcPr>
          <w:p w14:paraId="1328472B" w14:textId="4237B435" w:rsidR="00FF7A0B" w:rsidRDefault="00FF7A0B" w:rsidP="00D461C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AN2 119-e:</w:t>
            </w:r>
          </w:p>
          <w:p w14:paraId="6E093430" w14:textId="3A7AC50E" w:rsidR="00FF7A0B" w:rsidRPr="00FF7A0B" w:rsidRDefault="00FF7A0B" w:rsidP="00FF7A0B">
            <w:pPr>
              <w:pStyle w:val="Agreement"/>
              <w:tabs>
                <w:tab w:val="num" w:pos="1619"/>
              </w:tabs>
              <w:spacing w:before="120"/>
              <w:ind w:left="357" w:hanging="357"/>
            </w:pPr>
            <w:bookmarkStart w:id="5" w:name="_Hlk127190955"/>
            <w:r>
              <w:t>The method of</w:t>
            </w:r>
            <w:r w:rsidRPr="00A05FEE">
              <w:t xml:space="preserve"> </w:t>
            </w:r>
            <w:r>
              <w:t xml:space="preserve">not </w:t>
            </w:r>
            <w:r w:rsidRPr="00A05FEE">
              <w:t>broadcast</w:t>
            </w:r>
            <w:r>
              <w:t>ing</w:t>
            </w:r>
            <w:r w:rsidRPr="00A05FEE">
              <w:t xml:space="preserve"> “</w:t>
            </w:r>
            <w:proofErr w:type="spellStart"/>
            <w:r w:rsidRPr="00A05FEE">
              <w:t>iab</w:t>
            </w:r>
            <w:proofErr w:type="spellEnd"/>
            <w:r w:rsidRPr="00A05FEE">
              <w:t>-Support”</w:t>
            </w:r>
            <w:r>
              <w:t xml:space="preserve"> indication, is sufficient to prevent other IAB-</w:t>
            </w:r>
            <w:r w:rsidRPr="0015245E">
              <w:t>node from accessing</w:t>
            </w:r>
            <w:r>
              <w:t xml:space="preserve"> mobile </w:t>
            </w:r>
            <w:r w:rsidRPr="00A05FEE">
              <w:t>IAB</w:t>
            </w:r>
            <w:r>
              <w:t xml:space="preserve"> (without further spec impact). </w:t>
            </w:r>
            <w:bookmarkEnd w:id="5"/>
          </w:p>
          <w:p w14:paraId="355BAA04" w14:textId="77124685" w:rsidR="00FF7A0B" w:rsidRPr="00197613" w:rsidRDefault="00D461C3" w:rsidP="00D461C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613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197613">
              <w:rPr>
                <w:rFonts w:ascii="Times New Roman" w:hAnsi="Times New Roman" w:cs="Times New Roman"/>
                <w:sz w:val="20"/>
                <w:szCs w:val="20"/>
              </w:rPr>
              <w:t>AN2 121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bis-e</w:t>
            </w:r>
            <w:r w:rsidRPr="0019761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CF969F8" w14:textId="3D2AA18C" w:rsidR="0068320E" w:rsidRPr="0068320E" w:rsidRDefault="0068320E" w:rsidP="00D461C3">
            <w:pPr>
              <w:pStyle w:val="Agreement"/>
              <w:tabs>
                <w:tab w:val="num" w:pos="1619"/>
              </w:tabs>
              <w:spacing w:before="120"/>
              <w:ind w:left="357" w:hanging="357"/>
              <w:rPr>
                <w:rFonts w:ascii="Times New Roman" w:eastAsia="Times New Roman" w:hAnsi="Times New Roman"/>
                <w:szCs w:val="20"/>
              </w:rPr>
            </w:pPr>
            <w:r w:rsidRPr="00252CBB">
              <w:t>R2 assumes that a mobile IAB node is not required to receive the system information of neighbour cells for reporting of measurements (i.e. it will not refrain from</w:t>
            </w:r>
            <w:bookmarkStart w:id="6" w:name="_Hlk134539669"/>
            <w:r w:rsidRPr="00252CBB">
              <w:t xml:space="preserve"> reporting measurements of cells that are not broadcasting the “mobile </w:t>
            </w:r>
            <w:proofErr w:type="spellStart"/>
            <w:r w:rsidRPr="00252CBB">
              <w:t>iab</w:t>
            </w:r>
            <w:proofErr w:type="spellEnd"/>
            <w:r w:rsidRPr="00252CBB">
              <w:t xml:space="preserve"> Support” indication</w:t>
            </w:r>
            <w:bookmarkEnd w:id="6"/>
            <w:r w:rsidRPr="00252CBB">
              <w:t xml:space="preserve">, and this is </w:t>
            </w:r>
            <w:proofErr w:type="spellStart"/>
            <w:r w:rsidRPr="00252CBB">
              <w:t>acc</w:t>
            </w:r>
            <w:proofErr w:type="spellEnd"/>
            <w:r w:rsidRPr="00252CBB">
              <w:t xml:space="preserve"> to current R2 TS).</w:t>
            </w:r>
          </w:p>
        </w:tc>
      </w:tr>
    </w:tbl>
    <w:p w14:paraId="605960B4" w14:textId="7085B5C8" w:rsidR="00AC00B6" w:rsidRPr="00197613" w:rsidRDefault="00E44D1E" w:rsidP="006D398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mobile IAB-node, 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t should have no descendent IAB-nodes and only serve for UEs as defined in the WID.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622D67"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n RAN2 119 e-meeting, RAN2 has agreed that the method of not broadcasting “</w:t>
      </w:r>
      <w:proofErr w:type="spellStart"/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sufficient to prevent other IAB-node from accessing mobile IAB</w:t>
      </w:r>
      <w:r w:rsidR="00D54D25" w:rsidRPr="00197613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B7B60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the </w:t>
      </w:r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proofErr w:type="spellStart"/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only applied for IAB-node integration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7A0B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last RAN2 121bis e-meeting, RAN2 has 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assumed not to refrain </w:t>
      </w:r>
      <w:r w:rsidR="00E46725" w:rsidRP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reporting measurements of 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mobile IAB </w:t>
      </w:r>
      <w:r w:rsidR="00E46725" w:rsidRPr="00E46725">
        <w:rPr>
          <w:rFonts w:ascii="Times New Roman" w:eastAsia="宋体" w:hAnsi="Times New Roman" w:cs="Times New Roman"/>
          <w:kern w:val="0"/>
          <w:sz w:val="20"/>
          <w:szCs w:val="20"/>
        </w:rPr>
        <w:t>cells</w:t>
      </w:r>
      <w:r w:rsidR="00D83E5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83E5D">
        <w:rPr>
          <w:rFonts w:ascii="Times New Roman" w:eastAsia="宋体" w:hAnsi="Times New Roman" w:cs="Times New Roman"/>
          <w:kern w:val="0"/>
          <w:sz w:val="20"/>
          <w:szCs w:val="20"/>
        </w:rPr>
        <w:t xml:space="preserve">So, 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>it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avoid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a source IAB-donor-CU 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configure measurement to an IAB-node 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>with a potential cell belong</w:t>
      </w:r>
      <w:r w:rsidR="006362C0" w:rsidRPr="00197613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IAB-node, and the source IAB-donor-CU 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 handover </w:t>
      </w:r>
      <w:r w:rsidR="008E6E8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the IAB-node 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>to the mobile IAB-node cell</w:t>
      </w:r>
      <w:r w:rsidR="008E6E8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the source IAB-donor-CU of a </w:t>
      </w:r>
      <w:r w:rsidR="00851A97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should </w:t>
      </w:r>
      <w:r w:rsidR="00682CE1" w:rsidRPr="00197613">
        <w:rPr>
          <w:rFonts w:ascii="Times New Roman" w:eastAsia="宋体" w:hAnsi="Times New Roman" w:cs="Times New Roman"/>
          <w:kern w:val="0"/>
          <w:sz w:val="20"/>
          <w:szCs w:val="20"/>
        </w:rPr>
        <w:t>be aware of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whether the potential target cell belong</w:t>
      </w:r>
      <w:r w:rsidR="00851A97" w:rsidRPr="0019761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</w:t>
      </w:r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</w:t>
      </w:r>
      <w:proofErr w:type="spellStart"/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6C09D6A" w14:textId="1ED31E0F" w:rsidR="00E01663" w:rsidRDefault="00E01663" w:rsidP="00E0166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7" w:name="OLE_LINK14"/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084B41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Source IAB-donor-CU of a</w:t>
      </w:r>
      <w:r w:rsidR="00851A97"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 w:rsidR="00682CE1" w:rsidRPr="00197613"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whether potential 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="00851A97" w:rsidRPr="0019761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="001D18F3">
        <w:rPr>
          <w:rFonts w:ascii="Times New Roman" w:hAnsi="Times New Roman" w:cs="Times New Roman"/>
          <w:b/>
          <w:bCs/>
          <w:sz w:val="20"/>
          <w:szCs w:val="20"/>
        </w:rPr>
        <w:t xml:space="preserve"> via </w:t>
      </w:r>
      <w:proofErr w:type="spellStart"/>
      <w:r w:rsidR="001D18F3">
        <w:rPr>
          <w:rFonts w:ascii="Times New Roman" w:hAnsi="Times New Roman" w:cs="Times New Roman"/>
          <w:b/>
          <w:bCs/>
          <w:sz w:val="20"/>
          <w:szCs w:val="20"/>
        </w:rPr>
        <w:t>Xn</w:t>
      </w:r>
      <w:r w:rsidR="00485AC3">
        <w:rPr>
          <w:rFonts w:ascii="Times New Roman" w:hAnsi="Times New Roman" w:cs="Times New Roman"/>
          <w:b/>
          <w:bCs/>
          <w:sz w:val="20"/>
          <w:szCs w:val="20"/>
        </w:rPr>
        <w:t>AP</w:t>
      </w:r>
      <w:proofErr w:type="spellEnd"/>
      <w:r w:rsidR="001D18F3"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bookmarkEnd w:id="7"/>
    <w:p w14:paraId="514C599A" w14:textId="77777777" w:rsidR="001D18F3" w:rsidRPr="006D398E" w:rsidRDefault="001D18F3" w:rsidP="001D18F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Supporting mobile IAB-node indication</w:t>
      </w:r>
    </w:p>
    <w:p w14:paraId="791641F5" w14:textId="77777777" w:rsidR="001D18F3" w:rsidRPr="00197613" w:rsidRDefault="001D18F3" w:rsidP="001D18F3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Because legacy R16/R17 IAB-donors or parent IAB-nodes may not support the functionalities and characters that will be introduced by the R18 mobile IAB, it’s not a good choice for the R18 mobile IAB-node to always camp on a legacy R16/R17 IAB-donor or parent IAB-node. Therefore, to assist the mobile IAB-node access to a suitable IAB-donor or parent IAB-node, a “mobile-IAB-Support” IE can be introduced in SIB1 just as the “</w:t>
      </w:r>
      <w:proofErr w:type="spellStart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IE in R16.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And in RAN2 meeting, RAN2 assumes "supporting mobile-IAB" indication is provided by Rel-18 Mobile IAB capable parent cell. Therefore, IAB-donor-CU needs to configure whether each cell of fixed parent node IAB-DU or IAB-donor-DU is mobile-IAB-supported or not.</w:t>
      </w:r>
    </w:p>
    <w:p w14:paraId="65ED4C1D" w14:textId="63B0B898" w:rsidR="001D18F3" w:rsidRPr="00197613" w:rsidRDefault="001D18F3" w:rsidP="001D18F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084B41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IAB-donor-CU configures whether each cell of fixed parent node IAB-DU or IAB-donor-DU is mobile-IAB-supported.</w:t>
      </w:r>
    </w:p>
    <w:bookmarkEnd w:id="3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nhancements for mobility of an IAB-node together with its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0378A60B" w14:textId="77777777" w:rsidR="00B673C0" w:rsidRPr="005A6844" w:rsidRDefault="00B673C0" w:rsidP="00B673C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An explicit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Node Indication is contained in the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52CA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source IAB-donor to target IAB-donor</w:t>
      </w:r>
      <w:r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, and </w:t>
      </w:r>
      <w:r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the </w:t>
      </w:r>
      <w:proofErr w:type="spellStart"/>
      <w:r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Node Indication can be used to indicate the </w:t>
      </w:r>
      <w:proofErr w:type="spellStart"/>
      <w:r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B673C0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-node is authorized.</w:t>
      </w:r>
    </w:p>
    <w:p w14:paraId="4686B1E3" w14:textId="77777777" w:rsidR="00B673C0" w:rsidRDefault="00B673C0" w:rsidP="00B673C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等线" w:hAnsi="Times New Roman" w:cs="Times New Roman" w:hint="eastAsia"/>
          <w:b/>
          <w:bCs/>
          <w:snapToGrid w:val="0"/>
          <w:kern w:val="0"/>
          <w:sz w:val="20"/>
          <w:szCs w:val="20"/>
          <w:lang w:val="en-GB"/>
        </w:rPr>
        <w:t>P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roposal 2: An explicit </w:t>
      </w:r>
      <w:proofErr w:type="spellStart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Pr="00443675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AMF to target IAB-donor.</w:t>
      </w:r>
      <w:r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</w:t>
      </w:r>
    </w:p>
    <w:p w14:paraId="5D1D5587" w14:textId="77777777" w:rsidR="006F2D45" w:rsidRDefault="006F2D45" w:rsidP="006F2D4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If IAB-MT and IAB-DU connect to different IAB-donor-CUs, the F1-terminating IAB-donor-CU needs to be informed about authorization state change of IAB-node from the </w:t>
      </w:r>
      <w:r w:rsidRPr="00F21E9F">
        <w:rPr>
          <w:rFonts w:ascii="Times New Roman" w:hAnsi="Times New Roman" w:cs="Times New Roman"/>
          <w:b/>
          <w:bCs/>
          <w:sz w:val="20"/>
          <w:szCs w:val="20"/>
        </w:rPr>
        <w:t xml:space="preserve">RRC-terminating IAB-donor-CU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via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message.</w:t>
      </w:r>
    </w:p>
    <w:p w14:paraId="496701CC" w14:textId="77777777" w:rsidR="006F2D45" w:rsidRPr="000317DE" w:rsidRDefault="006F2D45" w:rsidP="006F2D4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0317DE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roposal 4: In order to perform CU-based NC</w:t>
      </w:r>
      <w:r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I reconfiguration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-node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, the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F1-terminating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IAB-donor-CU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-node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obtains a list of NC</w:t>
      </w:r>
      <w:r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</w:rPr>
        <w:t>/NCI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from its OAM in advance.</w:t>
      </w:r>
    </w:p>
    <w:p w14:paraId="0FBCBC37" w14:textId="77777777" w:rsidR="006F2D45" w:rsidRDefault="006F2D45" w:rsidP="006F2D4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Proposal 5: </w:t>
      </w:r>
      <w:r>
        <w:rPr>
          <w:rFonts w:ascii="Times New Roman" w:hAnsi="Times New Roman" w:cs="Times New Roman"/>
          <w:b/>
          <w:bCs/>
          <w:sz w:val="20"/>
          <w:szCs w:val="20"/>
        </w:rPr>
        <w:t>In case of CU-based NCGI reconfiguration, t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he value change of </w:t>
      </w:r>
      <w:proofErr w:type="spellStart"/>
      <w:r w:rsidRPr="000317DE">
        <w:rPr>
          <w:rFonts w:ascii="Times New Roman" w:hAnsi="Times New Roman" w:cs="Times New Roman"/>
          <w:b/>
          <w:bCs/>
          <w:sz w:val="20"/>
          <w:szCs w:val="20"/>
        </w:rPr>
        <w:t>cellLocalId</w:t>
      </w:r>
      <w:proofErr w:type="spellEnd"/>
      <w:r w:rsidRPr="000317DE">
        <w:rPr>
          <w:rFonts w:ascii="Times New Roman" w:hAnsi="Times New Roman" w:cs="Times New Roman"/>
          <w:b/>
          <w:bCs/>
          <w:sz w:val="20"/>
          <w:szCs w:val="20"/>
        </w:rPr>
        <w:t xml:space="preserve"> shall be notified to the OAM system following the NC</w:t>
      </w:r>
      <w:r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0317DE">
        <w:rPr>
          <w:rFonts w:ascii="Times New Roman" w:hAnsi="Times New Roman" w:cs="Times New Roman"/>
          <w:b/>
          <w:bCs/>
          <w:sz w:val="20"/>
          <w:szCs w:val="20"/>
        </w:rPr>
        <w:t>I reconfiguration.</w:t>
      </w:r>
    </w:p>
    <w:p w14:paraId="568D39EF" w14:textId="77777777" w:rsidR="006F2D45" w:rsidRPr="00A34A2D" w:rsidRDefault="006F2D45" w:rsidP="006F2D45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IAB-DU and target IAB-donor-CU, and NCGI of IAB-DU can be pre-configured at the mobile IAB-node in case of determined trajectory. </w:t>
      </w:r>
    </w:p>
    <w:p w14:paraId="02F46942" w14:textId="1CD4325B" w:rsidR="006F2D45" w:rsidRDefault="006F2D45" w:rsidP="006F2D45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Source IAB-donor-CU of a fixed IAB-node should be aware of whether potential 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via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r w:rsidR="00485AC3">
        <w:rPr>
          <w:rFonts w:ascii="Times New Roman" w:hAnsi="Times New Roman" w:cs="Times New Roman"/>
          <w:b/>
          <w:bCs/>
          <w:sz w:val="20"/>
          <w:szCs w:val="20"/>
        </w:rPr>
        <w:t>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576BDDF" w14:textId="77777777" w:rsidR="006F2D45" w:rsidRPr="00197613" w:rsidRDefault="006F2D45" w:rsidP="006F2D45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IAB-donor-CU configures whether each cell of fixed parent node IAB-DU or IAB-donor-DU is mobile-IAB-supported.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17AF3434" w14:textId="49014A6A" w:rsidR="00C45DB2" w:rsidRPr="00FD44EF" w:rsidRDefault="00FD44EF" w:rsidP="00FD44E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3AFE79D5" w14:textId="7D3455D7" w:rsidR="00631179" w:rsidRDefault="004623EC" w:rsidP="0063117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</w:t>
      </w:r>
      <w:r w:rsidR="00FB65C5">
        <w:rPr>
          <w:rFonts w:ascii="Times New Roman" w:eastAsia="宋体" w:hAnsi="Times New Roman" w:cs="Times New Roman"/>
          <w:kern w:val="0"/>
          <w:sz w:val="20"/>
          <w:lang w:val="x-none"/>
        </w:rPr>
        <w:t>12</w:t>
      </w:r>
      <w:r w:rsidR="00F200AD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DD4C3D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652A8B3E" w14:textId="3733871C" w:rsidR="007B7383" w:rsidRPr="00172EAD" w:rsidRDefault="007B7383" w:rsidP="0063117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7B7383">
        <w:rPr>
          <w:rFonts w:ascii="Times New Roman" w:eastAsia="宋体" w:hAnsi="Times New Roman" w:cs="Times New Roman"/>
          <w:kern w:val="0"/>
          <w:sz w:val="20"/>
          <w:lang w:val="x-none"/>
        </w:rPr>
        <w:t>S5-236128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7B7383">
        <w:rPr>
          <w:rFonts w:ascii="Times New Roman" w:eastAsia="宋体" w:hAnsi="Times New Roman" w:cs="Times New Roman"/>
          <w:kern w:val="0"/>
          <w:sz w:val="20"/>
          <w:lang w:val="x-none"/>
        </w:rPr>
        <w:t>LS reply to LS on Cell ID (re)configuration for mobile IAB cell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 SA5.</w:t>
      </w:r>
    </w:p>
    <w:sectPr w:rsidR="007B7383" w:rsidRPr="00172EAD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DA9E4" w14:textId="77777777" w:rsidR="00A03296" w:rsidRDefault="00A03296" w:rsidP="00AA3FAE">
      <w:r>
        <w:separator/>
      </w:r>
    </w:p>
  </w:endnote>
  <w:endnote w:type="continuationSeparator" w:id="0">
    <w:p w14:paraId="26330187" w14:textId="77777777" w:rsidR="00A03296" w:rsidRDefault="00A03296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BCAF" w14:textId="77777777" w:rsidR="00A03296" w:rsidRDefault="00A03296" w:rsidP="00AA3FAE">
      <w:r>
        <w:separator/>
      </w:r>
    </w:p>
  </w:footnote>
  <w:footnote w:type="continuationSeparator" w:id="0">
    <w:p w14:paraId="26F63025" w14:textId="77777777" w:rsidR="00A03296" w:rsidRDefault="00A03296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9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  <w:num w:numId="12" w16cid:durableId="1361584663">
    <w:abstractNumId w:val="8"/>
  </w:num>
  <w:num w:numId="13" w16cid:durableId="1258557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4F1"/>
    <w:rsid w:val="00006F15"/>
    <w:rsid w:val="0000703A"/>
    <w:rsid w:val="00011F5D"/>
    <w:rsid w:val="000165E4"/>
    <w:rsid w:val="0001682C"/>
    <w:rsid w:val="00017A52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389E"/>
    <w:rsid w:val="00046943"/>
    <w:rsid w:val="00047E11"/>
    <w:rsid w:val="000505CB"/>
    <w:rsid w:val="00050999"/>
    <w:rsid w:val="000566E1"/>
    <w:rsid w:val="00060A16"/>
    <w:rsid w:val="000613CF"/>
    <w:rsid w:val="000637B7"/>
    <w:rsid w:val="000664F5"/>
    <w:rsid w:val="0006683B"/>
    <w:rsid w:val="00067403"/>
    <w:rsid w:val="000700EE"/>
    <w:rsid w:val="00070D39"/>
    <w:rsid w:val="00072D31"/>
    <w:rsid w:val="0007335E"/>
    <w:rsid w:val="00074B1C"/>
    <w:rsid w:val="0007544B"/>
    <w:rsid w:val="00082040"/>
    <w:rsid w:val="00083ECB"/>
    <w:rsid w:val="00084B41"/>
    <w:rsid w:val="00086B95"/>
    <w:rsid w:val="000874BB"/>
    <w:rsid w:val="00095520"/>
    <w:rsid w:val="00096792"/>
    <w:rsid w:val="0009781A"/>
    <w:rsid w:val="000A0A57"/>
    <w:rsid w:val="000A18DF"/>
    <w:rsid w:val="000A3D7E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E0797"/>
    <w:rsid w:val="000E0AF2"/>
    <w:rsid w:val="000E24D5"/>
    <w:rsid w:val="000E43DA"/>
    <w:rsid w:val="000E61B1"/>
    <w:rsid w:val="000E651D"/>
    <w:rsid w:val="000E706D"/>
    <w:rsid w:val="000F0260"/>
    <w:rsid w:val="000F0785"/>
    <w:rsid w:val="000F6A9D"/>
    <w:rsid w:val="00100689"/>
    <w:rsid w:val="001012D3"/>
    <w:rsid w:val="00101812"/>
    <w:rsid w:val="0010237A"/>
    <w:rsid w:val="00103F6F"/>
    <w:rsid w:val="00104AE3"/>
    <w:rsid w:val="00111B28"/>
    <w:rsid w:val="00113355"/>
    <w:rsid w:val="00113E65"/>
    <w:rsid w:val="0011469E"/>
    <w:rsid w:val="001148E6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4A9A"/>
    <w:rsid w:val="00134C0A"/>
    <w:rsid w:val="001353CD"/>
    <w:rsid w:val="00144D1D"/>
    <w:rsid w:val="00145DD8"/>
    <w:rsid w:val="00152CA4"/>
    <w:rsid w:val="0015523D"/>
    <w:rsid w:val="001556FC"/>
    <w:rsid w:val="00155F87"/>
    <w:rsid w:val="00157AC5"/>
    <w:rsid w:val="0016033B"/>
    <w:rsid w:val="00161A1A"/>
    <w:rsid w:val="001623DF"/>
    <w:rsid w:val="0017256C"/>
    <w:rsid w:val="00172D96"/>
    <w:rsid w:val="00172EAD"/>
    <w:rsid w:val="0017587A"/>
    <w:rsid w:val="001847E8"/>
    <w:rsid w:val="00190FAF"/>
    <w:rsid w:val="0019486E"/>
    <w:rsid w:val="0019499C"/>
    <w:rsid w:val="00197613"/>
    <w:rsid w:val="001A1855"/>
    <w:rsid w:val="001A2383"/>
    <w:rsid w:val="001A260F"/>
    <w:rsid w:val="001A38C6"/>
    <w:rsid w:val="001A44C7"/>
    <w:rsid w:val="001B31AB"/>
    <w:rsid w:val="001C0436"/>
    <w:rsid w:val="001C0F1D"/>
    <w:rsid w:val="001C3355"/>
    <w:rsid w:val="001C3A1E"/>
    <w:rsid w:val="001C41B0"/>
    <w:rsid w:val="001D18F3"/>
    <w:rsid w:val="001D1A86"/>
    <w:rsid w:val="001D279D"/>
    <w:rsid w:val="001D64DD"/>
    <w:rsid w:val="001F0325"/>
    <w:rsid w:val="001F03D3"/>
    <w:rsid w:val="001F1C18"/>
    <w:rsid w:val="001F34D3"/>
    <w:rsid w:val="001F5824"/>
    <w:rsid w:val="00202146"/>
    <w:rsid w:val="0020327D"/>
    <w:rsid w:val="002070BF"/>
    <w:rsid w:val="00213791"/>
    <w:rsid w:val="002164AC"/>
    <w:rsid w:val="00221B4A"/>
    <w:rsid w:val="0022248C"/>
    <w:rsid w:val="00222F62"/>
    <w:rsid w:val="002271C5"/>
    <w:rsid w:val="00227B13"/>
    <w:rsid w:val="00230B9F"/>
    <w:rsid w:val="00232519"/>
    <w:rsid w:val="0023595E"/>
    <w:rsid w:val="00236927"/>
    <w:rsid w:val="00236C33"/>
    <w:rsid w:val="002402B0"/>
    <w:rsid w:val="002420BA"/>
    <w:rsid w:val="00242FE9"/>
    <w:rsid w:val="0024433A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7A8C"/>
    <w:rsid w:val="00277010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09B0"/>
    <w:rsid w:val="002B23C1"/>
    <w:rsid w:val="002B42E0"/>
    <w:rsid w:val="002B61AB"/>
    <w:rsid w:val="002B7FB5"/>
    <w:rsid w:val="002C1BFE"/>
    <w:rsid w:val="002C30B4"/>
    <w:rsid w:val="002C6DA5"/>
    <w:rsid w:val="002D370E"/>
    <w:rsid w:val="002D68AD"/>
    <w:rsid w:val="002D6B18"/>
    <w:rsid w:val="002D6F0D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99D"/>
    <w:rsid w:val="002F0CB9"/>
    <w:rsid w:val="002F19C1"/>
    <w:rsid w:val="002F231B"/>
    <w:rsid w:val="002F4481"/>
    <w:rsid w:val="002F49BB"/>
    <w:rsid w:val="002F7DD1"/>
    <w:rsid w:val="00300908"/>
    <w:rsid w:val="00304AB3"/>
    <w:rsid w:val="003070E2"/>
    <w:rsid w:val="00312351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56EB9"/>
    <w:rsid w:val="00362F2C"/>
    <w:rsid w:val="0036486D"/>
    <w:rsid w:val="00364AC3"/>
    <w:rsid w:val="00366F84"/>
    <w:rsid w:val="00371B3B"/>
    <w:rsid w:val="003728F6"/>
    <w:rsid w:val="00373427"/>
    <w:rsid w:val="003848D1"/>
    <w:rsid w:val="00384956"/>
    <w:rsid w:val="00385E03"/>
    <w:rsid w:val="00387EF8"/>
    <w:rsid w:val="003901C4"/>
    <w:rsid w:val="003976B5"/>
    <w:rsid w:val="003A0B1A"/>
    <w:rsid w:val="003A2EE2"/>
    <w:rsid w:val="003A4A2A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5E04"/>
    <w:rsid w:val="003C6CEF"/>
    <w:rsid w:val="003D0D01"/>
    <w:rsid w:val="003D283B"/>
    <w:rsid w:val="003D535D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D86"/>
    <w:rsid w:val="0040527B"/>
    <w:rsid w:val="00405361"/>
    <w:rsid w:val="00410D54"/>
    <w:rsid w:val="004139B5"/>
    <w:rsid w:val="004139F0"/>
    <w:rsid w:val="00415D56"/>
    <w:rsid w:val="00417185"/>
    <w:rsid w:val="00420583"/>
    <w:rsid w:val="00431BB4"/>
    <w:rsid w:val="0043789D"/>
    <w:rsid w:val="00443675"/>
    <w:rsid w:val="00445267"/>
    <w:rsid w:val="00454F9D"/>
    <w:rsid w:val="004561FF"/>
    <w:rsid w:val="00457A21"/>
    <w:rsid w:val="00461164"/>
    <w:rsid w:val="004623EC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2D36"/>
    <w:rsid w:val="00493281"/>
    <w:rsid w:val="004958CF"/>
    <w:rsid w:val="00496C05"/>
    <w:rsid w:val="004A0380"/>
    <w:rsid w:val="004A2BF7"/>
    <w:rsid w:val="004A40B8"/>
    <w:rsid w:val="004A7B5F"/>
    <w:rsid w:val="004B04C5"/>
    <w:rsid w:val="004B3030"/>
    <w:rsid w:val="004B5B72"/>
    <w:rsid w:val="004B5BA7"/>
    <w:rsid w:val="004B5F55"/>
    <w:rsid w:val="004B69DF"/>
    <w:rsid w:val="004B7283"/>
    <w:rsid w:val="004C4B68"/>
    <w:rsid w:val="004C753F"/>
    <w:rsid w:val="004D23F2"/>
    <w:rsid w:val="004D4BF9"/>
    <w:rsid w:val="004D54D2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D7A"/>
    <w:rsid w:val="0052218C"/>
    <w:rsid w:val="005237AE"/>
    <w:rsid w:val="00530F9F"/>
    <w:rsid w:val="00532DEC"/>
    <w:rsid w:val="005347E6"/>
    <w:rsid w:val="005355E0"/>
    <w:rsid w:val="00535D8C"/>
    <w:rsid w:val="00542A22"/>
    <w:rsid w:val="005508EC"/>
    <w:rsid w:val="00550D47"/>
    <w:rsid w:val="005516DB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A0141"/>
    <w:rsid w:val="005A6844"/>
    <w:rsid w:val="005A7AB9"/>
    <w:rsid w:val="005A7B59"/>
    <w:rsid w:val="005B1AAC"/>
    <w:rsid w:val="005B216A"/>
    <w:rsid w:val="005B4B3A"/>
    <w:rsid w:val="005B58A7"/>
    <w:rsid w:val="005B7597"/>
    <w:rsid w:val="005C0D8A"/>
    <w:rsid w:val="005C49AB"/>
    <w:rsid w:val="005C686B"/>
    <w:rsid w:val="005C6B58"/>
    <w:rsid w:val="005C6EEA"/>
    <w:rsid w:val="005D003D"/>
    <w:rsid w:val="005D1AED"/>
    <w:rsid w:val="005D5C6C"/>
    <w:rsid w:val="005E197D"/>
    <w:rsid w:val="005E555C"/>
    <w:rsid w:val="005E5569"/>
    <w:rsid w:val="005E7BCB"/>
    <w:rsid w:val="00600820"/>
    <w:rsid w:val="00602419"/>
    <w:rsid w:val="006040E0"/>
    <w:rsid w:val="00604CC3"/>
    <w:rsid w:val="00605573"/>
    <w:rsid w:val="00607C4A"/>
    <w:rsid w:val="00612ED9"/>
    <w:rsid w:val="00613DDF"/>
    <w:rsid w:val="00621C13"/>
    <w:rsid w:val="00622D67"/>
    <w:rsid w:val="006241E8"/>
    <w:rsid w:val="0062438B"/>
    <w:rsid w:val="00625023"/>
    <w:rsid w:val="00625208"/>
    <w:rsid w:val="00626CB0"/>
    <w:rsid w:val="00631179"/>
    <w:rsid w:val="00632A14"/>
    <w:rsid w:val="0063421A"/>
    <w:rsid w:val="006362C0"/>
    <w:rsid w:val="00637F81"/>
    <w:rsid w:val="006424C4"/>
    <w:rsid w:val="006447C8"/>
    <w:rsid w:val="006479A2"/>
    <w:rsid w:val="00653585"/>
    <w:rsid w:val="00661C15"/>
    <w:rsid w:val="00662469"/>
    <w:rsid w:val="00662CC3"/>
    <w:rsid w:val="006660AB"/>
    <w:rsid w:val="00666EA1"/>
    <w:rsid w:val="00670C46"/>
    <w:rsid w:val="006749D1"/>
    <w:rsid w:val="006804B4"/>
    <w:rsid w:val="00682CE1"/>
    <w:rsid w:val="00682D3F"/>
    <w:rsid w:val="0068320E"/>
    <w:rsid w:val="00683F4C"/>
    <w:rsid w:val="00684A40"/>
    <w:rsid w:val="00687312"/>
    <w:rsid w:val="00687695"/>
    <w:rsid w:val="006916A2"/>
    <w:rsid w:val="00694EC0"/>
    <w:rsid w:val="00696348"/>
    <w:rsid w:val="00696619"/>
    <w:rsid w:val="00696F0C"/>
    <w:rsid w:val="006A2113"/>
    <w:rsid w:val="006A3137"/>
    <w:rsid w:val="006A3783"/>
    <w:rsid w:val="006A53D6"/>
    <w:rsid w:val="006B0FE9"/>
    <w:rsid w:val="006B1416"/>
    <w:rsid w:val="006C0CE7"/>
    <w:rsid w:val="006C1E84"/>
    <w:rsid w:val="006C20A7"/>
    <w:rsid w:val="006C38B0"/>
    <w:rsid w:val="006C50A7"/>
    <w:rsid w:val="006C6455"/>
    <w:rsid w:val="006D1314"/>
    <w:rsid w:val="006D1A36"/>
    <w:rsid w:val="006D2AEE"/>
    <w:rsid w:val="006D398E"/>
    <w:rsid w:val="006D5547"/>
    <w:rsid w:val="006D6F3D"/>
    <w:rsid w:val="006E2F17"/>
    <w:rsid w:val="006E3B4C"/>
    <w:rsid w:val="006E5566"/>
    <w:rsid w:val="006E5A0A"/>
    <w:rsid w:val="006E7CED"/>
    <w:rsid w:val="006F2D45"/>
    <w:rsid w:val="006F4525"/>
    <w:rsid w:val="006F4BBB"/>
    <w:rsid w:val="006F50AC"/>
    <w:rsid w:val="007028FB"/>
    <w:rsid w:val="00703BAA"/>
    <w:rsid w:val="00705A56"/>
    <w:rsid w:val="0070723A"/>
    <w:rsid w:val="00707369"/>
    <w:rsid w:val="00715902"/>
    <w:rsid w:val="00715DE9"/>
    <w:rsid w:val="0071674C"/>
    <w:rsid w:val="007209B0"/>
    <w:rsid w:val="00730BC7"/>
    <w:rsid w:val="00732AEF"/>
    <w:rsid w:val="00737853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90ED3"/>
    <w:rsid w:val="007A772F"/>
    <w:rsid w:val="007A7E72"/>
    <w:rsid w:val="007B1116"/>
    <w:rsid w:val="007B19E5"/>
    <w:rsid w:val="007B2F30"/>
    <w:rsid w:val="007B3E4D"/>
    <w:rsid w:val="007B47C9"/>
    <w:rsid w:val="007B634D"/>
    <w:rsid w:val="007B7383"/>
    <w:rsid w:val="007C1161"/>
    <w:rsid w:val="007C3555"/>
    <w:rsid w:val="007C4A72"/>
    <w:rsid w:val="007D06AC"/>
    <w:rsid w:val="007D0EB2"/>
    <w:rsid w:val="007D2B81"/>
    <w:rsid w:val="007E1B20"/>
    <w:rsid w:val="007E2FA0"/>
    <w:rsid w:val="007F1D60"/>
    <w:rsid w:val="007F2A4D"/>
    <w:rsid w:val="007F2E5B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375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B0A50"/>
    <w:rsid w:val="008B1345"/>
    <w:rsid w:val="008B1CAD"/>
    <w:rsid w:val="008B3A88"/>
    <w:rsid w:val="008B43D4"/>
    <w:rsid w:val="008B4CFB"/>
    <w:rsid w:val="008B6DD3"/>
    <w:rsid w:val="008B7113"/>
    <w:rsid w:val="008B7D21"/>
    <w:rsid w:val="008C26CC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902ED4"/>
    <w:rsid w:val="00904546"/>
    <w:rsid w:val="00906767"/>
    <w:rsid w:val="00907B5B"/>
    <w:rsid w:val="00907D66"/>
    <w:rsid w:val="009113BD"/>
    <w:rsid w:val="00912EF8"/>
    <w:rsid w:val="009150D1"/>
    <w:rsid w:val="009174F1"/>
    <w:rsid w:val="00922240"/>
    <w:rsid w:val="00924649"/>
    <w:rsid w:val="00924FF3"/>
    <w:rsid w:val="009259CA"/>
    <w:rsid w:val="00925F4D"/>
    <w:rsid w:val="00926DCD"/>
    <w:rsid w:val="00932D3E"/>
    <w:rsid w:val="00943A26"/>
    <w:rsid w:val="00943A28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66288"/>
    <w:rsid w:val="009900C7"/>
    <w:rsid w:val="009912C5"/>
    <w:rsid w:val="00992405"/>
    <w:rsid w:val="009926ED"/>
    <w:rsid w:val="00994662"/>
    <w:rsid w:val="00994907"/>
    <w:rsid w:val="00996310"/>
    <w:rsid w:val="009A28C5"/>
    <w:rsid w:val="009A55F5"/>
    <w:rsid w:val="009A75A1"/>
    <w:rsid w:val="009B19F1"/>
    <w:rsid w:val="009B2C34"/>
    <w:rsid w:val="009B3EF1"/>
    <w:rsid w:val="009B5A6D"/>
    <w:rsid w:val="009B5B7A"/>
    <w:rsid w:val="009B6F77"/>
    <w:rsid w:val="009C3C24"/>
    <w:rsid w:val="009C6DD1"/>
    <w:rsid w:val="009C7F3D"/>
    <w:rsid w:val="009D47C1"/>
    <w:rsid w:val="009D52B4"/>
    <w:rsid w:val="009D6382"/>
    <w:rsid w:val="009D761B"/>
    <w:rsid w:val="009E44BA"/>
    <w:rsid w:val="009E4AD9"/>
    <w:rsid w:val="009E4D5F"/>
    <w:rsid w:val="009E506A"/>
    <w:rsid w:val="009E707E"/>
    <w:rsid w:val="009E7474"/>
    <w:rsid w:val="009E7C4C"/>
    <w:rsid w:val="009F1156"/>
    <w:rsid w:val="009F1E23"/>
    <w:rsid w:val="009F1F4A"/>
    <w:rsid w:val="00A03296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5B7F"/>
    <w:rsid w:val="00A46452"/>
    <w:rsid w:val="00A51D78"/>
    <w:rsid w:val="00A53E8A"/>
    <w:rsid w:val="00A601A2"/>
    <w:rsid w:val="00A60302"/>
    <w:rsid w:val="00A63D75"/>
    <w:rsid w:val="00A661E2"/>
    <w:rsid w:val="00A71889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95C67"/>
    <w:rsid w:val="00A964D1"/>
    <w:rsid w:val="00AA290B"/>
    <w:rsid w:val="00AA2E85"/>
    <w:rsid w:val="00AA3FAE"/>
    <w:rsid w:val="00AA4A48"/>
    <w:rsid w:val="00AA539E"/>
    <w:rsid w:val="00AA70B5"/>
    <w:rsid w:val="00AA7EAE"/>
    <w:rsid w:val="00AB0A5A"/>
    <w:rsid w:val="00AC00B6"/>
    <w:rsid w:val="00AC018E"/>
    <w:rsid w:val="00AC25E2"/>
    <w:rsid w:val="00AC3051"/>
    <w:rsid w:val="00AC44C3"/>
    <w:rsid w:val="00AC553A"/>
    <w:rsid w:val="00AC5A84"/>
    <w:rsid w:val="00AD63A2"/>
    <w:rsid w:val="00AE27CC"/>
    <w:rsid w:val="00AE371C"/>
    <w:rsid w:val="00AE4ACB"/>
    <w:rsid w:val="00AF05F2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204E7"/>
    <w:rsid w:val="00B2364A"/>
    <w:rsid w:val="00B25314"/>
    <w:rsid w:val="00B26539"/>
    <w:rsid w:val="00B26673"/>
    <w:rsid w:val="00B30954"/>
    <w:rsid w:val="00B328E2"/>
    <w:rsid w:val="00B33EE7"/>
    <w:rsid w:val="00B34B5A"/>
    <w:rsid w:val="00B40018"/>
    <w:rsid w:val="00B403D4"/>
    <w:rsid w:val="00B447E6"/>
    <w:rsid w:val="00B46699"/>
    <w:rsid w:val="00B54FE2"/>
    <w:rsid w:val="00B61EB7"/>
    <w:rsid w:val="00B624D4"/>
    <w:rsid w:val="00B673C0"/>
    <w:rsid w:val="00B72A52"/>
    <w:rsid w:val="00B74D0D"/>
    <w:rsid w:val="00B82736"/>
    <w:rsid w:val="00B83738"/>
    <w:rsid w:val="00B87F6F"/>
    <w:rsid w:val="00B93874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C28F3"/>
    <w:rsid w:val="00BC78CF"/>
    <w:rsid w:val="00BD17DA"/>
    <w:rsid w:val="00BD2BF0"/>
    <w:rsid w:val="00BD36A4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6DFF"/>
    <w:rsid w:val="00C00903"/>
    <w:rsid w:val="00C01CFE"/>
    <w:rsid w:val="00C01F59"/>
    <w:rsid w:val="00C05BB5"/>
    <w:rsid w:val="00C11C51"/>
    <w:rsid w:val="00C11F54"/>
    <w:rsid w:val="00C14D58"/>
    <w:rsid w:val="00C156DD"/>
    <w:rsid w:val="00C15F89"/>
    <w:rsid w:val="00C21428"/>
    <w:rsid w:val="00C22AF4"/>
    <w:rsid w:val="00C245B8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DB2"/>
    <w:rsid w:val="00C53D68"/>
    <w:rsid w:val="00C607C0"/>
    <w:rsid w:val="00C70687"/>
    <w:rsid w:val="00C7223F"/>
    <w:rsid w:val="00C72915"/>
    <w:rsid w:val="00C85269"/>
    <w:rsid w:val="00C92F7E"/>
    <w:rsid w:val="00C9525E"/>
    <w:rsid w:val="00C9727F"/>
    <w:rsid w:val="00C975EA"/>
    <w:rsid w:val="00CA267C"/>
    <w:rsid w:val="00CA2C1E"/>
    <w:rsid w:val="00CA2F8B"/>
    <w:rsid w:val="00CA4BEB"/>
    <w:rsid w:val="00CB0896"/>
    <w:rsid w:val="00CB162A"/>
    <w:rsid w:val="00CB3C92"/>
    <w:rsid w:val="00CB432A"/>
    <w:rsid w:val="00CB6749"/>
    <w:rsid w:val="00CB7448"/>
    <w:rsid w:val="00CB7B60"/>
    <w:rsid w:val="00CC31C4"/>
    <w:rsid w:val="00CC5A61"/>
    <w:rsid w:val="00CC614A"/>
    <w:rsid w:val="00CD1838"/>
    <w:rsid w:val="00CD3CA4"/>
    <w:rsid w:val="00CD5BFB"/>
    <w:rsid w:val="00CD79A8"/>
    <w:rsid w:val="00CE123B"/>
    <w:rsid w:val="00CE3103"/>
    <w:rsid w:val="00CE4BFE"/>
    <w:rsid w:val="00CE53D9"/>
    <w:rsid w:val="00CE5C9C"/>
    <w:rsid w:val="00CF01E9"/>
    <w:rsid w:val="00CF1634"/>
    <w:rsid w:val="00CF481F"/>
    <w:rsid w:val="00CF4D2F"/>
    <w:rsid w:val="00CF620B"/>
    <w:rsid w:val="00CF6C69"/>
    <w:rsid w:val="00CF77A9"/>
    <w:rsid w:val="00D026EC"/>
    <w:rsid w:val="00D04CF3"/>
    <w:rsid w:val="00D0612D"/>
    <w:rsid w:val="00D06F0F"/>
    <w:rsid w:val="00D1011E"/>
    <w:rsid w:val="00D104F6"/>
    <w:rsid w:val="00D10A73"/>
    <w:rsid w:val="00D13343"/>
    <w:rsid w:val="00D16A9A"/>
    <w:rsid w:val="00D17D74"/>
    <w:rsid w:val="00D224C9"/>
    <w:rsid w:val="00D27582"/>
    <w:rsid w:val="00D27A09"/>
    <w:rsid w:val="00D33843"/>
    <w:rsid w:val="00D355CC"/>
    <w:rsid w:val="00D418AD"/>
    <w:rsid w:val="00D461C3"/>
    <w:rsid w:val="00D51E3A"/>
    <w:rsid w:val="00D523ED"/>
    <w:rsid w:val="00D52619"/>
    <w:rsid w:val="00D54D25"/>
    <w:rsid w:val="00D54D42"/>
    <w:rsid w:val="00D57255"/>
    <w:rsid w:val="00D62523"/>
    <w:rsid w:val="00D626EF"/>
    <w:rsid w:val="00D65253"/>
    <w:rsid w:val="00D66FA2"/>
    <w:rsid w:val="00D67F2F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3A9F"/>
    <w:rsid w:val="00D83E5D"/>
    <w:rsid w:val="00D84224"/>
    <w:rsid w:val="00D918B8"/>
    <w:rsid w:val="00D956D6"/>
    <w:rsid w:val="00DA1F42"/>
    <w:rsid w:val="00DA3F49"/>
    <w:rsid w:val="00DA4B7A"/>
    <w:rsid w:val="00DC21C1"/>
    <w:rsid w:val="00DC331A"/>
    <w:rsid w:val="00DC4568"/>
    <w:rsid w:val="00DD042C"/>
    <w:rsid w:val="00DD07BD"/>
    <w:rsid w:val="00DD0FB8"/>
    <w:rsid w:val="00DD4C3D"/>
    <w:rsid w:val="00DD60E2"/>
    <w:rsid w:val="00DE36BD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3127"/>
    <w:rsid w:val="00E03558"/>
    <w:rsid w:val="00E037D5"/>
    <w:rsid w:val="00E04A87"/>
    <w:rsid w:val="00E07600"/>
    <w:rsid w:val="00E11469"/>
    <w:rsid w:val="00E11B68"/>
    <w:rsid w:val="00E122FB"/>
    <w:rsid w:val="00E13554"/>
    <w:rsid w:val="00E15A94"/>
    <w:rsid w:val="00E24BB0"/>
    <w:rsid w:val="00E27BBF"/>
    <w:rsid w:val="00E33406"/>
    <w:rsid w:val="00E3698A"/>
    <w:rsid w:val="00E37B4D"/>
    <w:rsid w:val="00E4002F"/>
    <w:rsid w:val="00E42658"/>
    <w:rsid w:val="00E44881"/>
    <w:rsid w:val="00E44D1E"/>
    <w:rsid w:val="00E46725"/>
    <w:rsid w:val="00E46C2A"/>
    <w:rsid w:val="00E500C5"/>
    <w:rsid w:val="00E508F4"/>
    <w:rsid w:val="00E51E85"/>
    <w:rsid w:val="00E52A20"/>
    <w:rsid w:val="00E54DFE"/>
    <w:rsid w:val="00E55D1E"/>
    <w:rsid w:val="00E5668E"/>
    <w:rsid w:val="00E57029"/>
    <w:rsid w:val="00E609B5"/>
    <w:rsid w:val="00E61DE0"/>
    <w:rsid w:val="00E6285A"/>
    <w:rsid w:val="00E62BC7"/>
    <w:rsid w:val="00E63122"/>
    <w:rsid w:val="00E63F06"/>
    <w:rsid w:val="00E64886"/>
    <w:rsid w:val="00E6798F"/>
    <w:rsid w:val="00E67E0B"/>
    <w:rsid w:val="00E76EEA"/>
    <w:rsid w:val="00E7751B"/>
    <w:rsid w:val="00E808A2"/>
    <w:rsid w:val="00E809E7"/>
    <w:rsid w:val="00E90079"/>
    <w:rsid w:val="00E92EB2"/>
    <w:rsid w:val="00EA55A0"/>
    <w:rsid w:val="00EA60C0"/>
    <w:rsid w:val="00EA73E5"/>
    <w:rsid w:val="00EB3664"/>
    <w:rsid w:val="00EB3AF7"/>
    <w:rsid w:val="00EB6BC0"/>
    <w:rsid w:val="00EC1BD3"/>
    <w:rsid w:val="00ED2423"/>
    <w:rsid w:val="00ED74D3"/>
    <w:rsid w:val="00ED770A"/>
    <w:rsid w:val="00EE2B0A"/>
    <w:rsid w:val="00EE3198"/>
    <w:rsid w:val="00EE31DA"/>
    <w:rsid w:val="00EE4080"/>
    <w:rsid w:val="00EE7EFE"/>
    <w:rsid w:val="00EF57C9"/>
    <w:rsid w:val="00F01478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00AD"/>
    <w:rsid w:val="00F21E9F"/>
    <w:rsid w:val="00F25C1E"/>
    <w:rsid w:val="00F26293"/>
    <w:rsid w:val="00F26EF7"/>
    <w:rsid w:val="00F31231"/>
    <w:rsid w:val="00F32774"/>
    <w:rsid w:val="00F36585"/>
    <w:rsid w:val="00F42B15"/>
    <w:rsid w:val="00F448E2"/>
    <w:rsid w:val="00F5031F"/>
    <w:rsid w:val="00F52357"/>
    <w:rsid w:val="00F529D7"/>
    <w:rsid w:val="00F5322B"/>
    <w:rsid w:val="00F53C11"/>
    <w:rsid w:val="00F56AEB"/>
    <w:rsid w:val="00F6131B"/>
    <w:rsid w:val="00F61D17"/>
    <w:rsid w:val="00F67B2B"/>
    <w:rsid w:val="00F7451E"/>
    <w:rsid w:val="00F76832"/>
    <w:rsid w:val="00F77D76"/>
    <w:rsid w:val="00F80B45"/>
    <w:rsid w:val="00F862F2"/>
    <w:rsid w:val="00F9005F"/>
    <w:rsid w:val="00F910F0"/>
    <w:rsid w:val="00F954B8"/>
    <w:rsid w:val="00F976AA"/>
    <w:rsid w:val="00FA00C8"/>
    <w:rsid w:val="00FA1D2D"/>
    <w:rsid w:val="00FA29EF"/>
    <w:rsid w:val="00FA36B4"/>
    <w:rsid w:val="00FA440F"/>
    <w:rsid w:val="00FB04E0"/>
    <w:rsid w:val="00FB2052"/>
    <w:rsid w:val="00FB5D38"/>
    <w:rsid w:val="00FB65C5"/>
    <w:rsid w:val="00FB795E"/>
    <w:rsid w:val="00FC0D8B"/>
    <w:rsid w:val="00FC1021"/>
    <w:rsid w:val="00FC144A"/>
    <w:rsid w:val="00FC3C7F"/>
    <w:rsid w:val="00FC5406"/>
    <w:rsid w:val="00FC739B"/>
    <w:rsid w:val="00FD075D"/>
    <w:rsid w:val="00FD222B"/>
    <w:rsid w:val="00FD2BD9"/>
    <w:rsid w:val="00FD44EF"/>
    <w:rsid w:val="00FD491E"/>
    <w:rsid w:val="00FD63F8"/>
    <w:rsid w:val="00FE6719"/>
    <w:rsid w:val="00FF2385"/>
    <w:rsid w:val="00FF5792"/>
    <w:rsid w:val="00FF6205"/>
    <w:rsid w:val="00FF69EA"/>
    <w:rsid w:val="00FF7688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5704</TotalTime>
  <Pages>4</Pages>
  <Words>1798</Words>
  <Characters>10252</Characters>
  <Application>Microsoft Office Word</Application>
  <DocSecurity>0</DocSecurity>
  <Lines>85</Lines>
  <Paragraphs>24</Paragraphs>
  <ScaleCrop>false</ScaleCrop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850</cp:revision>
  <dcterms:created xsi:type="dcterms:W3CDTF">2021-01-15T00:45:00Z</dcterms:created>
  <dcterms:modified xsi:type="dcterms:W3CDTF">2023-09-28T01:45:00Z</dcterms:modified>
</cp:coreProperties>
</file>